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R4-2205403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Te requirements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10.16.8.2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RAN4 101-e-bis, some</w:t>
      </w:r>
      <w:r>
        <w:rPr>
          <w:rFonts w:hint="eastAsia"/>
          <w:b w:val="0"/>
          <w:bCs/>
          <w:sz w:val="22"/>
          <w:szCs w:val="22"/>
          <w:lang w:val="en-US" w:eastAsia="zh-CN"/>
        </w:rPr>
        <w:t xml:space="preserve"> agreements regarding Te requirements were captured in the WF [1] and some of the content is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bCs/>
                <w:u w:val="single"/>
                <w:lang w:val="en-US" w:eastAsia="ja-JP" w:bidi="hi-IN"/>
              </w:rPr>
            </w:pPr>
            <w:r>
              <w:rPr>
                <w:b/>
                <w:bCs/>
                <w:u w:val="single"/>
                <w:lang w:val="en-US" w:eastAsia="ja-JP" w:bidi="hi-IN"/>
              </w:rPr>
              <w:t>Percentage of UL CP length Te can occupy for UL SCS of 480/960 kHz</w:t>
            </w:r>
          </w:p>
          <w:p>
            <w:pPr>
              <w:pStyle w:val="26"/>
              <w:numPr>
                <w:ilvl w:val="0"/>
                <w:numId w:val="6"/>
              </w:numPr>
              <w:rPr>
                <w:lang w:val="en-US" w:eastAsia="ja-JP" w:bidi="hi-IN"/>
              </w:rPr>
            </w:pPr>
            <w:r>
              <w:rPr>
                <w:lang w:val="en-US" w:eastAsia="ja-JP" w:bidi="hi-IN"/>
              </w:rPr>
              <w:t>UE transmit timing error requirements for UL SCS of 480/960 kHz are defined under the following assumptions</w:t>
            </w:r>
          </w:p>
          <w:p>
            <w:pPr>
              <w:pStyle w:val="26"/>
              <w:numPr>
                <w:ilvl w:val="1"/>
                <w:numId w:val="6"/>
              </w:numPr>
              <w:rPr>
                <w:lang w:val="en-US" w:eastAsia="ja-JP" w:bidi="hi-IN"/>
              </w:rPr>
            </w:pPr>
            <w:r>
              <w:rPr>
                <w:lang w:val="en-US" w:eastAsia="ja-JP" w:bidi="hi-IN"/>
              </w:rPr>
              <w:t>SCS:</w:t>
            </w:r>
          </w:p>
          <w:p>
            <w:pPr>
              <w:pStyle w:val="26"/>
              <w:numPr>
                <w:ilvl w:val="2"/>
                <w:numId w:val="6"/>
              </w:numPr>
              <w:rPr>
                <w:lang w:val="en-US" w:eastAsia="ja-JP" w:bidi="hi-IN"/>
              </w:rPr>
            </w:pPr>
            <w:r>
              <w:rPr>
                <w:rFonts w:hint="eastAsia"/>
                <w:lang w:val="en-US" w:eastAsia="ja-JP" w:bidi="hi-IN"/>
              </w:rPr>
              <w:t>SSB SCS ≥ UL SCS</w:t>
            </w:r>
          </w:p>
          <w:p>
            <w:pPr>
              <w:pStyle w:val="26"/>
              <w:numPr>
                <w:ilvl w:val="2"/>
                <w:numId w:val="6"/>
              </w:numPr>
              <w:rPr>
                <w:lang w:val="en-US" w:eastAsia="ja-JP" w:bidi="hi-IN"/>
              </w:rPr>
            </w:pPr>
            <w:r>
              <w:rPr>
                <w:lang w:val="en-US" w:eastAsia="ja-JP" w:bidi="hi-IN"/>
              </w:rPr>
              <w:t>FFS if other SCS combinations shall be considered</w:t>
            </w:r>
          </w:p>
          <w:p>
            <w:pPr>
              <w:pStyle w:val="26"/>
              <w:numPr>
                <w:ilvl w:val="1"/>
                <w:numId w:val="6"/>
              </w:numPr>
              <w:rPr>
                <w:lang w:val="en-US" w:eastAsia="ja-JP" w:bidi="hi-IN"/>
              </w:rPr>
            </w:pPr>
            <w:r>
              <w:rPr>
                <w:lang w:val="en-US" w:eastAsia="ja-JP" w:bidi="hi-IN"/>
              </w:rPr>
              <w:t>At least one SSB is available at the UE during the last: 20ms, 40ms, 80ms</w:t>
            </w:r>
          </w:p>
          <w:p>
            <w:pPr>
              <w:pStyle w:val="26"/>
              <w:numPr>
                <w:ilvl w:val="2"/>
                <w:numId w:val="6"/>
              </w:numPr>
              <w:rPr>
                <w:lang w:val="en-US" w:eastAsia="ja-JP" w:bidi="hi-IN"/>
              </w:rPr>
            </w:pPr>
            <w:r>
              <w:rPr>
                <w:lang w:val="en-US" w:eastAsia="ja-JP" w:bidi="hi-IN"/>
              </w:rPr>
              <w:t>Note: If multiple set of requirements are defined, then the requirements will be defined for at most for 2 periodicities</w:t>
            </w:r>
          </w:p>
          <w:p>
            <w:pPr>
              <w:pStyle w:val="26"/>
              <w:numPr>
                <w:ilvl w:val="1"/>
                <w:numId w:val="6"/>
              </w:numPr>
              <w:rPr>
                <w:lang w:val="en-US" w:eastAsia="ja-JP" w:bidi="hi-IN"/>
              </w:rPr>
            </w:pPr>
            <w:r>
              <w:rPr>
                <w:lang w:val="en-US" w:eastAsia="ja-JP" w:bidi="hi-IN"/>
              </w:rPr>
              <w:t xml:space="preserve">Max delay spread: </w:t>
            </w:r>
          </w:p>
          <w:p>
            <w:pPr>
              <w:pStyle w:val="26"/>
              <w:numPr>
                <w:ilvl w:val="2"/>
                <w:numId w:val="6"/>
              </w:numPr>
              <w:rPr>
                <w:lang w:val="en-US" w:eastAsia="ja-JP" w:bidi="hi-IN"/>
              </w:rPr>
            </w:pPr>
            <w:r>
              <w:rPr>
                <w:lang w:val="en-US" w:eastAsia="ja-JP" w:bidi="hi-IN"/>
              </w:rPr>
              <w:t xml:space="preserve">[30ns] for 480kHz </w:t>
            </w:r>
          </w:p>
          <w:p>
            <w:pPr>
              <w:pStyle w:val="26"/>
              <w:numPr>
                <w:ilvl w:val="2"/>
                <w:numId w:val="6"/>
              </w:numPr>
              <w:rPr>
                <w:lang w:val="en-US" w:eastAsia="ja-JP" w:bidi="hi-IN"/>
              </w:rPr>
            </w:pPr>
            <w:r>
              <w:rPr>
                <w:lang w:val="en-US" w:eastAsia="ja-JP" w:bidi="hi-IN"/>
              </w:rPr>
              <w:t>[20ns] for 960kHz</w:t>
            </w:r>
          </w:p>
          <w:p>
            <w:pPr>
              <w:pStyle w:val="26"/>
              <w:numPr>
                <w:ilvl w:val="0"/>
                <w:numId w:val="6"/>
              </w:numPr>
              <w:rPr>
                <w:lang w:val="en-US" w:eastAsia="ja-JP" w:bidi="hi-IN"/>
              </w:rPr>
            </w:pPr>
            <w:r>
              <w:rPr>
                <w:lang w:val="en-US" w:eastAsia="ja-JP" w:bidi="hi-IN"/>
              </w:rPr>
              <w:t>FFS if a single set or multiple sets of requirements need to be defined</w:t>
            </w:r>
          </w:p>
          <w:p>
            <w:pPr>
              <w:pStyle w:val="26"/>
              <w:numPr>
                <w:ilvl w:val="0"/>
                <w:numId w:val="6"/>
              </w:numPr>
              <w:rPr>
                <w:rFonts w:hint="eastAsia"/>
                <w:color w:val="000000" w:themeColor="text1"/>
                <w:szCs w:val="24"/>
                <w:lang w:val="en-US" w:eastAsia="zh-CN"/>
                <w14:textFill>
                  <w14:solidFill>
                    <w14:schemeClr w14:val="tx1"/>
                  </w14:solidFill>
                </w14:textFill>
              </w:rPr>
            </w:pPr>
            <w:r>
              <w:rPr>
                <w:lang w:val="en-US" w:eastAsia="ja-JP" w:bidi="hi-IN"/>
              </w:rPr>
              <w:t>FFS how to design test case for UE transmit timing error requirements</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options listed above.</w:t>
      </w:r>
    </w:p>
    <w:p>
      <w:pPr>
        <w:pStyle w:val="28"/>
        <w:jc w:val="both"/>
        <w:rPr>
          <w:rFonts w:hint="default" w:eastAsia="宋体"/>
          <w:lang w:val="en-US" w:eastAsia="zh-CN"/>
        </w:rPr>
      </w:pPr>
      <w:r>
        <w:t>2</w:t>
      </w:r>
      <w:r>
        <w:tab/>
      </w:r>
      <w:r>
        <w:rPr>
          <w:rFonts w:hint="eastAsia"/>
          <w:lang w:val="en-US" w:eastAsia="zh-CN"/>
        </w:rPr>
        <w:t>Discussions</w:t>
      </w:r>
    </w:p>
    <w:p>
      <w:pPr>
        <w:pStyle w:val="36"/>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 xml:space="preserve">In general, we think that Te requirement is critical to maintain UL transmissions and it ensures the overall performance of not only one UE, but potentially the network and also other UEs. Thus, the requirements shall not be too relaxed compared to legacy systems in terms of percentage of Te to CP length. </w:t>
      </w:r>
    </w:p>
    <w:p>
      <w:pPr>
        <w:rPr>
          <w:rFonts w:hint="eastAsia" w:eastAsia="宋体"/>
          <w:sz w:val="22"/>
          <w:szCs w:val="22"/>
          <w:lang w:val="en-US" w:eastAsia="zh-CN"/>
        </w:rPr>
      </w:pPr>
      <w:r>
        <w:rPr>
          <w:rFonts w:hint="eastAsia" w:eastAsia="宋体"/>
          <w:sz w:val="22"/>
          <w:szCs w:val="22"/>
          <w:lang w:val="en-US" w:eastAsia="zh-CN"/>
        </w:rPr>
        <w:t xml:space="preserve">As to the availability of SSBs, we think that having separate set of Te requirements for different SSB periodicity makes sense. The maximum value of SSB periodicity X shall be 80 ms, since if X is at most 40 ms, then when the SSB periodicity is larger than 40 ms then there will be no requirements / test cases for the UE. Thus, we suggest to define at least two sets of Te requirements based on SSB periodicity for UL SCS of 480/960 kHz, with a maximum periodicity being 80 ms. </w:t>
      </w:r>
    </w:p>
    <w:p>
      <w:pPr>
        <w:rPr>
          <w:rFonts w:hint="default" w:eastAsia="宋体"/>
          <w:sz w:val="22"/>
          <w:szCs w:val="22"/>
          <w:lang w:val="en-US" w:eastAsia="zh-CN"/>
        </w:rPr>
      </w:pPr>
      <w:r>
        <w:rPr>
          <w:rFonts w:hint="eastAsia" w:eastAsia="宋体"/>
          <w:sz w:val="22"/>
          <w:szCs w:val="22"/>
          <w:lang w:val="en-US" w:eastAsia="zh-CN"/>
        </w:rPr>
        <w:t>The other choice can be 40 ms, since it also covers the case of 20 ms (if UE can meet the requirements set for 40 ms then it should not have any trouble meeting the requirements for 20ms, when SSB is available more often).</w:t>
      </w:r>
    </w:p>
    <w:p>
      <w:pPr>
        <w:pStyle w:val="36"/>
        <w:rPr>
          <w:rFonts w:hint="default" w:eastAsia="宋体"/>
          <w:sz w:val="22"/>
          <w:szCs w:val="22"/>
          <w:lang w:val="en-US" w:eastAsia="zh-CN"/>
        </w:rPr>
      </w:pPr>
      <w:r>
        <w:rPr>
          <w:rFonts w:hint="eastAsia" w:eastAsia="宋体"/>
          <w:sz w:val="22"/>
          <w:szCs w:val="22"/>
          <w:lang w:val="en-US" w:eastAsia="zh-CN"/>
        </w:rPr>
        <w:t xml:space="preserve">Define at least two sets of Te requirements based on SSB periodicity for UL SCS of 480/960 kHz. Two Te can be defined based on the assumption that </w:t>
      </w:r>
      <w:r>
        <w:rPr>
          <w:color w:val="000000" w:themeColor="text1"/>
          <w:sz w:val="22"/>
          <w:szCs w:val="22"/>
          <w:lang w:eastAsia="zh-CN"/>
          <w14:textFill>
            <w14:solidFill>
              <w14:schemeClr w14:val="tx1"/>
            </w14:solidFill>
          </w14:textFill>
        </w:rPr>
        <w:t xml:space="preserve">if an SSB is available in the last </w:t>
      </w:r>
      <w:r>
        <w:rPr>
          <w:rFonts w:hint="eastAsia"/>
          <w:color w:val="000000" w:themeColor="text1"/>
          <w:sz w:val="22"/>
          <w:szCs w:val="22"/>
          <w:lang w:val="en-US" w:eastAsia="zh-CN"/>
          <w14:textFill>
            <w14:solidFill>
              <w14:schemeClr w14:val="tx1"/>
            </w14:solidFill>
          </w14:textFill>
        </w:rPr>
        <w:t>40 ms and 80</w:t>
      </w:r>
      <w:r>
        <w:rPr>
          <w:color w:val="000000" w:themeColor="text1"/>
          <w:sz w:val="22"/>
          <w:szCs w:val="22"/>
          <w:lang w:eastAsia="zh-CN"/>
          <w14:textFill>
            <w14:solidFill>
              <w14:schemeClr w14:val="tx1"/>
            </w14:solidFill>
          </w14:textFill>
        </w:rPr>
        <w:t xml:space="preserve"> ms.</w:t>
      </w:r>
    </w:p>
    <w:p>
      <w:pPr>
        <w:rPr>
          <w:rFonts w:hint="default"/>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 xml:space="preserve">We also propose that corresponding test cases to be defined for both sets of requirements. This seems as a natural choice since we have two sets of requirements then we should have corresponding test cases.  </w:t>
      </w:r>
    </w:p>
    <w:p>
      <w:pPr>
        <w:pStyle w:val="36"/>
        <w:rPr>
          <w:rFonts w:hint="default"/>
          <w:color w:val="000000" w:themeColor="text1"/>
          <w:sz w:val="22"/>
          <w:szCs w:val="22"/>
          <w:lang w:val="en-US" w:eastAsia="zh-CN"/>
          <w14:textFill>
            <w14:solidFill>
              <w14:schemeClr w14:val="tx1"/>
            </w14:solidFill>
          </w14:textFill>
        </w:rPr>
      </w:pPr>
      <w:r>
        <w:rPr>
          <w:rFonts w:hint="eastAsia" w:eastAsia="宋体"/>
          <w:sz w:val="22"/>
          <w:szCs w:val="22"/>
          <w:lang w:val="en-US" w:eastAsia="zh-CN"/>
        </w:rPr>
        <w:t>Define test cases for both sets of requirements under different SSB periodicities</w:t>
      </w:r>
      <w:r>
        <w:rPr>
          <w:color w:val="000000" w:themeColor="text1"/>
          <w:sz w:val="22"/>
          <w:szCs w:val="22"/>
          <w:lang w:eastAsia="zh-CN"/>
          <w14:textFill>
            <w14:solidFill>
              <w14:schemeClr w14:val="tx1"/>
            </w14:solidFill>
          </w14:textFill>
        </w:rPr>
        <w:t>.</w:t>
      </w:r>
    </w:p>
    <w:p>
      <w:pPr>
        <w:pStyle w:val="28"/>
        <w:jc w:val="both"/>
      </w:pPr>
      <w:r>
        <w:rPr>
          <w:rFonts w:hint="eastAsia"/>
          <w:lang w:val="en-US" w:eastAsia="zh-CN"/>
        </w:rPr>
        <w:t>3</w:t>
      </w:r>
      <w:r>
        <w:tab/>
      </w:r>
      <w:r>
        <w:t>Conclusion</w:t>
      </w:r>
    </w:p>
    <w:p>
      <w:pPr>
        <w:pStyle w:val="36"/>
        <w:numPr>
          <w:ilvl w:val="0"/>
          <w:numId w:val="0"/>
        </w:numPr>
        <w:ind w:leftChars="0"/>
        <w:rPr>
          <w:color w:val="000000" w:themeColor="text1"/>
          <w:szCs w:val="24"/>
          <w:lang w:eastAsia="zh-CN"/>
          <w14:textFill>
            <w14:solidFill>
              <w14:schemeClr w14:val="tx1"/>
            </w14:solidFill>
          </w14:textFill>
        </w:rPr>
      </w:pPr>
      <w:r>
        <w:rPr>
          <w:rFonts w:hint="eastAsia"/>
          <w:b/>
          <w:bCs w:val="0"/>
          <w:sz w:val="22"/>
          <w:szCs w:val="22"/>
          <w:lang w:val="en-US" w:eastAsia="zh-CN"/>
        </w:rPr>
        <w:t xml:space="preserve">Proposal 1: </w:t>
      </w:r>
      <w:r>
        <w:rPr>
          <w:rFonts w:hint="eastAsia" w:eastAsia="宋体"/>
          <w:sz w:val="22"/>
          <w:szCs w:val="22"/>
          <w:lang w:val="en-US" w:eastAsia="zh-CN"/>
        </w:rPr>
        <w:t xml:space="preserve">Define at least two sets of Te requirements based on SSB periodicity for UL SCS of 480/960 kHz. Two Te can be defined based on the assumption that </w:t>
      </w:r>
      <w:r>
        <w:rPr>
          <w:color w:val="000000" w:themeColor="text1"/>
          <w:szCs w:val="24"/>
          <w:lang w:eastAsia="zh-CN"/>
          <w14:textFill>
            <w14:solidFill>
              <w14:schemeClr w14:val="tx1"/>
            </w14:solidFill>
          </w14:textFill>
        </w:rPr>
        <w:t xml:space="preserve">if an SSB is available in the last </w:t>
      </w:r>
      <w:r>
        <w:rPr>
          <w:rFonts w:hint="eastAsia"/>
          <w:color w:val="000000" w:themeColor="text1"/>
          <w:szCs w:val="24"/>
          <w:lang w:val="en-US" w:eastAsia="zh-CN"/>
          <w14:textFill>
            <w14:solidFill>
              <w14:schemeClr w14:val="tx1"/>
            </w14:solidFill>
          </w14:textFill>
        </w:rPr>
        <w:t>40 ms and 80</w:t>
      </w:r>
      <w:r>
        <w:rPr>
          <w:color w:val="000000" w:themeColor="text1"/>
          <w:szCs w:val="24"/>
          <w:lang w:eastAsia="zh-CN"/>
          <w14:textFill>
            <w14:solidFill>
              <w14:schemeClr w14:val="tx1"/>
            </w14:solidFill>
          </w14:textFill>
        </w:rPr>
        <w:t xml:space="preserve"> ms.</w:t>
      </w:r>
    </w:p>
    <w:p>
      <w:pPr>
        <w:rPr>
          <w:rFonts w:hint="default"/>
          <w:b/>
          <w:bCs/>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Define test cases for both sets of requirements under different SSB periodicities.</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R4-2202657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47F5DA9"/>
    <w:multiLevelType w:val="multilevel"/>
    <w:tmpl w:val="547F5D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DE3E47"/>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531E5"/>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EC2A4E"/>
    <w:rsid w:val="3609585B"/>
    <w:rsid w:val="37705F34"/>
    <w:rsid w:val="377700B0"/>
    <w:rsid w:val="37857872"/>
    <w:rsid w:val="37AF7036"/>
    <w:rsid w:val="380927B5"/>
    <w:rsid w:val="381F0B0E"/>
    <w:rsid w:val="382139EC"/>
    <w:rsid w:val="3876150B"/>
    <w:rsid w:val="38E356E3"/>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1572F"/>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045299"/>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D8D38EA"/>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442C4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0930B1"/>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